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976A" w14:textId="77777777" w:rsidR="00A15DE9" w:rsidRDefault="00B63422">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3 (Charges)</w:t>
      </w:r>
    </w:p>
    <w:p w14:paraId="1FB8A4B0" w14:textId="77777777" w:rsidR="00A15DE9" w:rsidRDefault="00B63422">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 xml:space="preserve">How Charges are calculated </w:t>
      </w:r>
    </w:p>
    <w:p w14:paraId="0992AC10" w14:textId="77777777"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5ADF9729" w14:textId="77777777" w:rsidR="00A15DE9" w:rsidRDefault="00B6342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this Schedule; </w:t>
      </w:r>
    </w:p>
    <w:p w14:paraId="4EB6E652" w14:textId="36D03109" w:rsidR="00A15DE9" w:rsidRDefault="00B6342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this Schedule and in particular shall only be subject to Indexation where specifically stated in the Award Form; and]</w:t>
      </w:r>
    </w:p>
    <w:p w14:paraId="59AEBD3E" w14:textId="66A0E2B3"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Any variation to the Charges payable under a Contract must be agreed between the Supplier and the Buyer and implemented using the procedure set out in this Schedule.</w:t>
      </w:r>
    </w:p>
    <w:p w14:paraId="1F9ECB1E" w14:textId="77777777" w:rsidR="00A15DE9" w:rsidRDefault="00B634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The pricing mechanisms</w:t>
      </w:r>
    </w:p>
    <w:p w14:paraId="29E2FE57" w14:textId="77777777"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Charges in the Contract.</w:t>
      </w:r>
    </w:p>
    <w:p w14:paraId="04440B2D" w14:textId="77777777" w:rsidR="00A15DE9" w:rsidRDefault="00B63422">
      <w:pPr>
        <w:numPr>
          <w:ilvl w:val="0"/>
          <w:numId w:val="1"/>
        </w:numPr>
        <w:pBdr>
          <w:top w:val="nil"/>
          <w:left w:val="nil"/>
          <w:bottom w:val="nil"/>
          <w:right w:val="nil"/>
          <w:between w:val="nil"/>
        </w:pBdr>
        <w:tabs>
          <w:tab w:val="left" w:pos="142"/>
        </w:tabs>
        <w:spacing w:before="120" w:after="240" w:line="240" w:lineRule="auto"/>
        <w:jc w:val="both"/>
      </w:pPr>
      <w:bookmarkStart w:id="3" w:name="bookmark=id.2et92p0" w:colFirst="0" w:colLast="0"/>
      <w:bookmarkStart w:id="4" w:name="_heading=h.3znysh7" w:colFirst="0" w:colLast="0"/>
      <w:bookmarkEnd w:id="3"/>
      <w:bookmarkEnd w:id="4"/>
      <w:r>
        <w:rPr>
          <w:rFonts w:ascii="Arial" w:eastAsia="Arial" w:hAnsi="Arial" w:cs="Arial"/>
          <w:b/>
          <w:color w:val="000000"/>
          <w:sz w:val="24"/>
          <w:szCs w:val="24"/>
        </w:rPr>
        <w:t xml:space="preserve">Are costs and expenses included in the </w:t>
      </w:r>
      <w:proofErr w:type="gramStart"/>
      <w:r>
        <w:rPr>
          <w:rFonts w:ascii="Arial" w:eastAsia="Arial" w:hAnsi="Arial" w:cs="Arial"/>
          <w:b/>
          <w:color w:val="000000"/>
          <w:sz w:val="24"/>
          <w:szCs w:val="24"/>
        </w:rPr>
        <w:t>Charges</w:t>
      </w:r>
      <w:proofErr w:type="gramEnd"/>
    </w:p>
    <w:p w14:paraId="416D8055" w14:textId="497CFF6D"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the Award Form] the Charges shall include all costs and expenses relating to the provision of Deliverables. No further amounts shall be payable in respect of matters such as:</w:t>
      </w:r>
    </w:p>
    <w:p w14:paraId="20E1258E" w14:textId="77777777" w:rsidR="00A15DE9" w:rsidRDefault="00B63422">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786A88E8" w14:textId="77777777" w:rsidR="00A15DE9" w:rsidRDefault="00B63422">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the Contract.</w:t>
      </w:r>
    </w:p>
    <w:p w14:paraId="2A1321B2" w14:textId="77777777" w:rsidR="00A15DE9" w:rsidRDefault="00B634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Charges</w:t>
      </w:r>
    </w:p>
    <w:p w14:paraId="3B00756B" w14:textId="3DE87969"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Charges will be fixed for the first </w:t>
      </w:r>
      <w:r w:rsidR="00BE00ED" w:rsidRPr="00BE00ED">
        <w:rPr>
          <w:rFonts w:ascii="Arial" w:eastAsia="Arial" w:hAnsi="Arial" w:cs="Arial"/>
          <w:b/>
          <w:color w:val="000000"/>
          <w:sz w:val="24"/>
          <w:szCs w:val="24"/>
        </w:rPr>
        <w:t xml:space="preserve">two </w:t>
      </w:r>
      <w:r>
        <w:rPr>
          <w:rFonts w:ascii="Arial" w:eastAsia="Arial" w:hAnsi="Arial" w:cs="Arial"/>
          <w:color w:val="000000"/>
          <w:sz w:val="24"/>
          <w:szCs w:val="24"/>
        </w:rPr>
        <w:t>years following the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Charges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1BA555DA" w14:textId="77777777"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The Supplier shall give the Buyer at least three (3) Months' notice in writing prior to a Review Date where it wants to request an increase.  If the Supplier does not give notice in time then it will only be able to request an increase prior to the next Review Date.</w:t>
      </w:r>
    </w:p>
    <w:p w14:paraId="30DB46B7" w14:textId="77777777"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6734AEFF" w14:textId="77777777" w:rsidR="00A15DE9" w:rsidRDefault="00B6342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Charges to be reviewed;</w:t>
      </w:r>
    </w:p>
    <w:p w14:paraId="6B2A68A4" w14:textId="77777777" w:rsidR="00A15DE9" w:rsidRDefault="00B6342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of the Charges under review, written evidence of the justification for the requested increase including:</w:t>
      </w:r>
    </w:p>
    <w:p w14:paraId="54FD4D05" w14:textId="33BA57CF" w:rsidR="00A15DE9" w:rsidRPr="00BE00ED" w:rsidRDefault="00B63422">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b/>
          <w:i/>
          <w:color w:val="000000"/>
          <w:sz w:val="24"/>
          <w:szCs w:val="24"/>
        </w:rPr>
      </w:pPr>
      <w:r w:rsidRPr="00BE00ED">
        <w:rPr>
          <w:rFonts w:ascii="Arial" w:eastAsia="Arial" w:hAnsi="Arial" w:cs="Arial"/>
          <w:color w:val="000000"/>
          <w:sz w:val="24"/>
          <w:szCs w:val="24"/>
        </w:rPr>
        <w:lastRenderedPageBreak/>
        <w:t xml:space="preserve">a breakdown of the profit and cost components that comprise the relevant part of the Charges; </w:t>
      </w:r>
    </w:p>
    <w:p w14:paraId="23928830" w14:textId="61432972" w:rsidR="00A15DE9" w:rsidRPr="00BE00ED" w:rsidRDefault="00BE00ED">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sidRPr="00BE00ED">
        <w:rPr>
          <w:rFonts w:ascii="Arial" w:eastAsia="Arial" w:hAnsi="Arial" w:cs="Arial"/>
          <w:color w:val="000000"/>
          <w:sz w:val="24"/>
          <w:szCs w:val="24"/>
        </w:rPr>
        <w:t xml:space="preserve"> </w:t>
      </w:r>
      <w:r w:rsidR="00B63422" w:rsidRPr="00BE00ED">
        <w:rPr>
          <w:rFonts w:ascii="Arial" w:eastAsia="Arial" w:hAnsi="Arial" w:cs="Arial"/>
          <w:color w:val="000000"/>
          <w:sz w:val="24"/>
          <w:szCs w:val="24"/>
        </w:rPr>
        <w:t>details of the movement in the different identified cost components of the relevant Charge;</w:t>
      </w:r>
    </w:p>
    <w:p w14:paraId="477F6258" w14:textId="706233EE" w:rsidR="00A15DE9" w:rsidRPr="00BE00ED" w:rsidRDefault="00B63422">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sidRPr="00BE00ED">
        <w:rPr>
          <w:rFonts w:ascii="Arial" w:eastAsia="Arial" w:hAnsi="Arial" w:cs="Arial"/>
          <w:color w:val="000000"/>
          <w:sz w:val="24"/>
          <w:szCs w:val="24"/>
        </w:rPr>
        <w:t>reasons for the movement in the different identified cost components of the relevant Charge;</w:t>
      </w:r>
    </w:p>
    <w:p w14:paraId="7CEC99B0" w14:textId="7C1697DA" w:rsidR="00A15DE9" w:rsidRPr="00BE00ED" w:rsidRDefault="00B63422">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sidRPr="00BE00ED">
        <w:rPr>
          <w:rFonts w:ascii="Arial" w:eastAsia="Arial" w:hAnsi="Arial" w:cs="Arial"/>
          <w:color w:val="000000"/>
          <w:sz w:val="24"/>
          <w:szCs w:val="24"/>
        </w:rPr>
        <w:t>evidence that the Supplier has attempted to mitigate against the increase in the relevant cost components; and</w:t>
      </w:r>
    </w:p>
    <w:p w14:paraId="3BE0263D" w14:textId="14C9888F" w:rsidR="00A15DE9" w:rsidRPr="00BE00ED" w:rsidRDefault="00B63422" w:rsidP="00BE00ED">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sidRPr="00BE00ED">
        <w:rPr>
          <w:rFonts w:ascii="Arial" w:eastAsia="Arial" w:hAnsi="Arial" w:cs="Arial"/>
          <w:color w:val="000000"/>
          <w:sz w:val="24"/>
          <w:szCs w:val="24"/>
        </w:rPr>
        <w:t>evidence that the Supplier’s profit component of the relevant  Charge is no greater than that applying to Charges using the same pricing mechanism as at the Contract Commencement Date.</w:t>
      </w:r>
    </w:p>
    <w:p w14:paraId="2127BB24" w14:textId="77777777" w:rsidR="00A15DE9" w:rsidRPr="00BE00ED"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BE00ED">
        <w:rPr>
          <w:rFonts w:ascii="Arial" w:eastAsia="Arial" w:hAnsi="Arial" w:cs="Arial"/>
          <w:color w:val="000000"/>
          <w:sz w:val="24"/>
          <w:szCs w:val="24"/>
        </w:rPr>
        <w:t>The Buyer shall consider each request for a price increase.  The Buyer may grant Approval to an increase at its sole discretion.</w:t>
      </w:r>
    </w:p>
    <w:p w14:paraId="0C432AC6" w14:textId="77777777" w:rsidR="00A15DE9" w:rsidRPr="00BE00ED"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BE00ED">
        <w:rPr>
          <w:rFonts w:ascii="Arial" w:eastAsia="Arial" w:hAnsi="Arial" w:cs="Arial"/>
          <w:color w:val="000000"/>
          <w:sz w:val="24"/>
          <w:szCs w:val="24"/>
        </w:rPr>
        <w:t>Where the Buyer approves an increase then it will be implemented from the first (1st) Working Day following the relevant Review Date or such later date as the Buyer may determine at its sole discretion and Annex 1 shall be updated accordingly.</w:t>
      </w:r>
    </w:p>
    <w:p w14:paraId="07CCA77A" w14:textId="77777777" w:rsidR="00A15DE9" w:rsidRDefault="00B634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Charges</w:t>
      </w:r>
    </w:p>
    <w:p w14:paraId="5141B9FA" w14:textId="77777777"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 can also be varied (and Annex 1 will be updated accordingly) due to:</w:t>
      </w:r>
    </w:p>
    <w:p w14:paraId="618890AC" w14:textId="77777777" w:rsidR="00A15DE9" w:rsidRDefault="00B6342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4F23030E" w14:textId="77777777" w:rsidR="00A15DE9" w:rsidRDefault="00B6342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6160EDB5" w14:textId="77777777" w:rsidR="00A15DE9" w:rsidRDefault="00B6342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Charges; and</w:t>
      </w:r>
    </w:p>
    <w:p w14:paraId="194D0D64" w14:textId="4BAE1501" w:rsidR="00A15DE9" w:rsidRPr="00BE00ED" w:rsidRDefault="00BE00ED">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BE00ED">
        <w:rPr>
          <w:rFonts w:ascii="Arial" w:eastAsia="Arial" w:hAnsi="Arial" w:cs="Arial"/>
          <w:b/>
          <w:color w:val="000000"/>
          <w:sz w:val="24"/>
          <w:szCs w:val="24"/>
        </w:rPr>
        <w:t>Expenses</w:t>
      </w:r>
    </w:p>
    <w:p w14:paraId="3C07686E" w14:textId="7068A386" w:rsidR="00A15DE9"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14:paraId="033E1929" w14:textId="77777777" w:rsidR="00A15DE9" w:rsidRDefault="00B63422">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14:paraId="0057DB2B" w14:textId="77777777" w:rsidR="00A15DE9" w:rsidRDefault="00B63422">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Award Form states that recovery is permitted; and</w:t>
      </w:r>
    </w:p>
    <w:p w14:paraId="457FA69D" w14:textId="77777777" w:rsidR="00A15DE9" w:rsidRPr="00BE00ED" w:rsidRDefault="00B63422">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they are Reimbursable Expenses and are supported by </w:t>
      </w:r>
      <w:r w:rsidRPr="00BE00ED">
        <w:rPr>
          <w:rFonts w:ascii="Arial" w:eastAsia="Arial" w:hAnsi="Arial" w:cs="Arial"/>
          <w:color w:val="000000"/>
          <w:sz w:val="24"/>
          <w:szCs w:val="24"/>
        </w:rPr>
        <w:t>Supporting Documentation.</w:t>
      </w:r>
    </w:p>
    <w:p w14:paraId="4D27A308" w14:textId="7956358D" w:rsidR="00A15DE9" w:rsidRPr="00BE00ED" w:rsidRDefault="00B634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6" w:name="_heading=h.3dy6vkm" w:colFirst="0" w:colLast="0"/>
      <w:bookmarkEnd w:id="6"/>
      <w:r w:rsidRPr="00BE00ED">
        <w:rPr>
          <w:rFonts w:ascii="Arial" w:eastAsia="Arial" w:hAnsi="Arial" w:cs="Arial"/>
          <w:color w:val="000000"/>
          <w:sz w:val="24"/>
          <w:szCs w:val="24"/>
        </w:rPr>
        <w:t xml:space="preserve">The Buyer shall provide a copy of their current expenses policy to the Supplier upon request. </w:t>
      </w:r>
    </w:p>
    <w:p w14:paraId="04A636DD" w14:textId="77777777" w:rsidR="00A15DE9" w:rsidRDefault="00A15DE9">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77935E4D" w14:textId="77777777" w:rsidR="00A15DE9" w:rsidRDefault="00A15DE9">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6B959BA4" w14:textId="77777777" w:rsidR="00A15DE9" w:rsidRDefault="00B63422">
      <w:pPr>
        <w:rPr>
          <w:rFonts w:ascii="Arial" w:eastAsia="Arial" w:hAnsi="Arial" w:cs="Arial"/>
          <w:b/>
          <w:sz w:val="36"/>
          <w:szCs w:val="36"/>
        </w:rPr>
      </w:pPr>
      <w:bookmarkStart w:id="7" w:name="_heading=h.1t3h5sf" w:colFirst="0" w:colLast="0"/>
      <w:bookmarkEnd w:id="7"/>
      <w:r>
        <w:br w:type="page"/>
      </w:r>
      <w:r>
        <w:rPr>
          <w:rFonts w:ascii="Arial" w:eastAsia="Arial" w:hAnsi="Arial" w:cs="Arial"/>
          <w:b/>
          <w:sz w:val="36"/>
          <w:szCs w:val="36"/>
        </w:rPr>
        <w:lastRenderedPageBreak/>
        <w:t>Annex 1: Rates and Prices</w:t>
      </w:r>
    </w:p>
    <w:p w14:paraId="0AD75C56" w14:textId="19398EE6" w:rsidR="00A15DE9" w:rsidRDefault="00B63422">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w:t>
      </w:r>
      <w:r w:rsidR="001C4ADD">
        <w:rPr>
          <w:rFonts w:ascii="Arial" w:eastAsia="Arial" w:hAnsi="Arial" w:cs="Arial"/>
          <w:b/>
          <w:color w:val="000000"/>
          <w:sz w:val="24"/>
          <w:szCs w:val="24"/>
        </w:rPr>
        <w:t>1</w:t>
      </w:r>
      <w:r>
        <w:rPr>
          <w:rFonts w:ascii="Arial" w:eastAsia="Arial" w:hAnsi="Arial" w:cs="Arial"/>
          <w:b/>
          <w:color w:val="000000"/>
          <w:sz w:val="24"/>
          <w:szCs w:val="24"/>
        </w:rPr>
        <w:t>: Fixed Prices</w:t>
      </w:r>
    </w:p>
    <w:p w14:paraId="02FDF2EA" w14:textId="502BCA05" w:rsidR="00A15DE9" w:rsidRDefault="00B63422">
      <w:pPr>
        <w:pBdr>
          <w:top w:val="nil"/>
          <w:left w:val="nil"/>
          <w:bottom w:val="nil"/>
          <w:right w:val="nil"/>
          <w:between w:val="nil"/>
        </w:pBdr>
        <w:spacing w:before="240" w:after="120" w:line="240" w:lineRule="auto"/>
        <w:ind w:hanging="426"/>
        <w:rPr>
          <w:rFonts w:ascii="Arial" w:eastAsia="Arial" w:hAnsi="Arial" w:cs="Arial"/>
          <w:color w:val="000000"/>
          <w:sz w:val="24"/>
          <w:szCs w:val="24"/>
        </w:rPr>
      </w:pPr>
      <w:r>
        <w:rPr>
          <w:rFonts w:ascii="Arial" w:eastAsia="Arial" w:hAnsi="Arial" w:cs="Arial"/>
          <w:color w:val="000000"/>
          <w:sz w:val="24"/>
          <w:szCs w:val="24"/>
        </w:rPr>
        <w:t>The rates below shall not be subject to variation by way of Indexation</w:t>
      </w:r>
    </w:p>
    <w:p w14:paraId="3AF2120F" w14:textId="77777777" w:rsidR="001C4ADD" w:rsidRDefault="001C4ADD">
      <w:pPr>
        <w:pBdr>
          <w:top w:val="nil"/>
          <w:left w:val="nil"/>
          <w:bottom w:val="nil"/>
          <w:right w:val="nil"/>
          <w:between w:val="nil"/>
        </w:pBdr>
        <w:spacing w:before="240" w:after="120" w:line="240" w:lineRule="auto"/>
        <w:ind w:hanging="426"/>
        <w:rPr>
          <w:rFonts w:ascii="Arial" w:eastAsia="Arial" w:hAnsi="Arial" w:cs="Arial"/>
          <w:b/>
          <w:i/>
          <w:color w:val="000000"/>
          <w:sz w:val="24"/>
          <w:szCs w:val="24"/>
        </w:rPr>
      </w:pPr>
    </w:p>
    <w:tbl>
      <w:tblPr>
        <w:tblStyle w:val="a0"/>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A15DE9" w14:paraId="7D050569" w14:textId="77777777" w:rsidTr="001C4ADD">
        <w:trPr>
          <w:trHeight w:val="1145"/>
        </w:trPr>
        <w:tc>
          <w:tcPr>
            <w:tcW w:w="4508" w:type="dxa"/>
            <w:shd w:val="clear" w:color="auto" w:fill="auto"/>
          </w:tcPr>
          <w:p w14:paraId="635C99CD" w14:textId="77777777" w:rsidR="00A15DE9" w:rsidRDefault="00B63422" w:rsidP="001C4ADD">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Type of Charge</w:t>
            </w:r>
          </w:p>
        </w:tc>
        <w:tc>
          <w:tcPr>
            <w:tcW w:w="4508" w:type="dxa"/>
            <w:shd w:val="clear" w:color="auto" w:fill="auto"/>
          </w:tcPr>
          <w:p w14:paraId="64E1956F" w14:textId="77777777" w:rsidR="001C4ADD" w:rsidRDefault="00B63422" w:rsidP="001C4ADD">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Fixed Charge (£)</w:t>
            </w:r>
          </w:p>
          <w:p w14:paraId="7285406A" w14:textId="3D2EAF72" w:rsidR="00A15DE9" w:rsidRPr="001C4ADD" w:rsidRDefault="001C4ADD" w:rsidP="001C4ADD">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sidRPr="001C4ADD">
              <w:rPr>
                <w:rFonts w:ascii="Arial" w:eastAsia="Arial" w:hAnsi="Arial" w:cs="Arial"/>
                <w:color w:val="000000"/>
                <w:sz w:val="24"/>
                <w:szCs w:val="24"/>
              </w:rPr>
              <w:t>Annual charge or fixed price charge to be indicated</w:t>
            </w:r>
          </w:p>
        </w:tc>
      </w:tr>
      <w:tr w:rsidR="00A15DE9" w14:paraId="64DB79BE" w14:textId="77777777">
        <w:tc>
          <w:tcPr>
            <w:tcW w:w="4508" w:type="dxa"/>
          </w:tcPr>
          <w:p w14:paraId="44AD845B" w14:textId="30A41B66" w:rsidR="00A15DE9" w:rsidRDefault="001C4ADD" w:rsidP="001C4ADD">
            <w:pPr>
              <w:keepNext/>
              <w:pBdr>
                <w:top w:val="nil"/>
                <w:left w:val="nil"/>
                <w:bottom w:val="nil"/>
                <w:right w:val="nil"/>
                <w:between w:val="nil"/>
              </w:pBdr>
              <w:spacing w:before="240" w:after="120" w:line="240" w:lineRule="auto"/>
              <w:ind w:left="20" w:hanging="20"/>
              <w:rPr>
                <w:rFonts w:ascii="Arial" w:eastAsia="Arial" w:hAnsi="Arial" w:cs="Arial"/>
                <w:color w:val="000000"/>
                <w:sz w:val="24"/>
                <w:szCs w:val="24"/>
                <w:highlight w:val="yellow"/>
              </w:rPr>
            </w:pPr>
            <w:r w:rsidRPr="00BE00ED">
              <w:rPr>
                <w:rFonts w:ascii="Arial" w:eastAsia="Arial" w:hAnsi="Arial" w:cs="Arial"/>
                <w:color w:val="000000"/>
                <w:sz w:val="24"/>
                <w:szCs w:val="24"/>
              </w:rPr>
              <w:t xml:space="preserve">Core </w:t>
            </w:r>
            <w:r>
              <w:rPr>
                <w:rFonts w:ascii="Arial" w:eastAsia="Arial" w:hAnsi="Arial" w:cs="Arial"/>
                <w:color w:val="000000"/>
                <w:sz w:val="24"/>
                <w:szCs w:val="24"/>
              </w:rPr>
              <w:t xml:space="preserve">annual </w:t>
            </w:r>
            <w:r w:rsidRPr="00BE00ED">
              <w:rPr>
                <w:rFonts w:ascii="Arial" w:eastAsia="Arial" w:hAnsi="Arial" w:cs="Arial"/>
                <w:color w:val="000000"/>
                <w:sz w:val="24"/>
                <w:szCs w:val="24"/>
              </w:rPr>
              <w:t>costs for energy trading system, including:</w:t>
            </w:r>
            <w:r>
              <w:rPr>
                <w:rFonts w:ascii="Arial" w:eastAsia="Arial" w:hAnsi="Arial" w:cs="Arial"/>
                <w:color w:val="000000"/>
                <w:sz w:val="24"/>
                <w:szCs w:val="24"/>
              </w:rPr>
              <w:t xml:space="preserve"> l</w:t>
            </w:r>
            <w:r w:rsidRPr="00BE00ED">
              <w:rPr>
                <w:rFonts w:ascii="Arial" w:eastAsia="Arial" w:hAnsi="Arial" w:cs="Arial"/>
                <w:color w:val="000000"/>
                <w:sz w:val="24"/>
                <w:szCs w:val="24"/>
              </w:rPr>
              <w:t>icencing, hosting, customer support and helpdesk</w:t>
            </w:r>
          </w:p>
        </w:tc>
        <w:tc>
          <w:tcPr>
            <w:tcW w:w="4508" w:type="dxa"/>
            <w:shd w:val="clear" w:color="auto" w:fill="FFFFFF"/>
          </w:tcPr>
          <w:p w14:paraId="4FBB7099" w14:textId="77777777" w:rsidR="00A15DE9" w:rsidRDefault="00A15DE9">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r w:rsidR="00A15DE9" w14:paraId="2804A6FF" w14:textId="77777777">
        <w:tc>
          <w:tcPr>
            <w:tcW w:w="4508" w:type="dxa"/>
          </w:tcPr>
          <w:p w14:paraId="52DA57E5" w14:textId="36EAFFE7" w:rsidR="00A15DE9" w:rsidRPr="00BE00ED" w:rsidRDefault="001C4ADD" w:rsidP="00BE00ED">
            <w:pPr>
              <w:keepNext/>
              <w:pBdr>
                <w:top w:val="nil"/>
                <w:left w:val="nil"/>
                <w:bottom w:val="nil"/>
                <w:right w:val="nil"/>
                <w:between w:val="nil"/>
              </w:pBdr>
              <w:spacing w:before="240" w:after="120" w:line="240" w:lineRule="auto"/>
              <w:ind w:left="20" w:hanging="20"/>
              <w:rPr>
                <w:rFonts w:ascii="Arial" w:eastAsia="Arial" w:hAnsi="Arial" w:cs="Arial"/>
                <w:color w:val="000000"/>
                <w:sz w:val="24"/>
                <w:szCs w:val="24"/>
              </w:rPr>
            </w:pPr>
            <w:r w:rsidRPr="001C4ADD">
              <w:rPr>
                <w:rFonts w:ascii="Arial" w:eastAsia="Arial" w:hAnsi="Arial" w:cs="Arial"/>
                <w:color w:val="000000"/>
                <w:sz w:val="24"/>
                <w:szCs w:val="24"/>
              </w:rPr>
              <w:t>Setup and configuration of the system, including:</w:t>
            </w:r>
            <w:r>
              <w:rPr>
                <w:rFonts w:ascii="Arial" w:eastAsia="Arial" w:hAnsi="Arial" w:cs="Arial"/>
                <w:color w:val="000000"/>
                <w:sz w:val="24"/>
                <w:szCs w:val="24"/>
              </w:rPr>
              <w:t xml:space="preserve"> c</w:t>
            </w:r>
            <w:r w:rsidRPr="001C4ADD">
              <w:rPr>
                <w:rFonts w:ascii="Arial" w:eastAsia="Arial" w:hAnsi="Arial" w:cs="Arial"/>
                <w:color w:val="000000"/>
                <w:sz w:val="24"/>
                <w:szCs w:val="24"/>
              </w:rPr>
              <w:t>ore system deployment, configuration, creation of reports and queries, data migration, setup of automatic data loading</w:t>
            </w:r>
          </w:p>
        </w:tc>
        <w:tc>
          <w:tcPr>
            <w:tcW w:w="4508" w:type="dxa"/>
            <w:shd w:val="clear" w:color="auto" w:fill="FFFFFF"/>
          </w:tcPr>
          <w:p w14:paraId="1D6ADF49" w14:textId="77777777" w:rsidR="00A15DE9" w:rsidRDefault="00A15DE9">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r w:rsidR="001C4ADD" w14:paraId="25A5FB18" w14:textId="77777777">
        <w:tc>
          <w:tcPr>
            <w:tcW w:w="4508" w:type="dxa"/>
          </w:tcPr>
          <w:p w14:paraId="74C94DB3" w14:textId="42398449" w:rsidR="001C4ADD" w:rsidRPr="00BE00ED" w:rsidRDefault="001C4ADD" w:rsidP="001C4ADD">
            <w:pPr>
              <w:keepNext/>
              <w:pBdr>
                <w:top w:val="nil"/>
                <w:left w:val="nil"/>
                <w:bottom w:val="nil"/>
                <w:right w:val="nil"/>
                <w:between w:val="nil"/>
              </w:pBdr>
              <w:spacing w:before="240" w:after="120" w:line="240" w:lineRule="auto"/>
              <w:ind w:left="20" w:hanging="20"/>
              <w:rPr>
                <w:rFonts w:ascii="Arial" w:eastAsia="Arial" w:hAnsi="Arial" w:cs="Arial"/>
                <w:color w:val="000000"/>
                <w:sz w:val="24"/>
                <w:szCs w:val="24"/>
              </w:rPr>
            </w:pPr>
            <w:r w:rsidRPr="001C4ADD">
              <w:rPr>
                <w:rFonts w:ascii="Arial" w:eastAsia="Arial" w:hAnsi="Arial" w:cs="Arial"/>
                <w:color w:val="000000"/>
                <w:sz w:val="24"/>
                <w:szCs w:val="24"/>
              </w:rPr>
              <w:t>Training of CCS staff in the use of the ETS</w:t>
            </w:r>
          </w:p>
        </w:tc>
        <w:tc>
          <w:tcPr>
            <w:tcW w:w="4508" w:type="dxa"/>
            <w:shd w:val="clear" w:color="auto" w:fill="FFFFFF"/>
          </w:tcPr>
          <w:p w14:paraId="69B6D212" w14:textId="77777777" w:rsidR="001C4ADD" w:rsidRDefault="001C4AD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r w:rsidR="001C4ADD" w14:paraId="2178B7F9" w14:textId="77777777">
        <w:tc>
          <w:tcPr>
            <w:tcW w:w="4508" w:type="dxa"/>
          </w:tcPr>
          <w:p w14:paraId="7ADD2661" w14:textId="1B33D917" w:rsidR="001C4ADD" w:rsidRPr="001C4ADD" w:rsidRDefault="001C4ADD" w:rsidP="001C4ADD">
            <w:pPr>
              <w:keepNext/>
              <w:pBdr>
                <w:top w:val="nil"/>
                <w:left w:val="nil"/>
                <w:bottom w:val="nil"/>
                <w:right w:val="nil"/>
                <w:between w:val="nil"/>
              </w:pBdr>
              <w:spacing w:before="240" w:after="120" w:line="240" w:lineRule="auto"/>
              <w:ind w:left="20" w:hanging="20"/>
              <w:rPr>
                <w:rFonts w:ascii="Arial" w:eastAsia="Arial" w:hAnsi="Arial" w:cs="Arial"/>
                <w:color w:val="000000"/>
                <w:sz w:val="24"/>
                <w:szCs w:val="24"/>
              </w:rPr>
            </w:pPr>
            <w:r>
              <w:rPr>
                <w:rFonts w:ascii="Arial" w:eastAsia="Arial" w:hAnsi="Arial" w:cs="Arial"/>
                <w:color w:val="000000"/>
                <w:sz w:val="24"/>
                <w:szCs w:val="24"/>
              </w:rPr>
              <w:t>Other charges as detailed in the S</w:t>
            </w:r>
            <w:bookmarkStart w:id="8" w:name="_GoBack"/>
            <w:bookmarkEnd w:id="8"/>
            <w:r>
              <w:rPr>
                <w:rFonts w:ascii="Arial" w:eastAsia="Arial" w:hAnsi="Arial" w:cs="Arial"/>
                <w:color w:val="000000"/>
                <w:sz w:val="24"/>
                <w:szCs w:val="24"/>
              </w:rPr>
              <w:t>upplier bid and agreed as part of contract award</w:t>
            </w:r>
          </w:p>
        </w:tc>
        <w:tc>
          <w:tcPr>
            <w:tcW w:w="4508" w:type="dxa"/>
            <w:shd w:val="clear" w:color="auto" w:fill="FFFFFF"/>
          </w:tcPr>
          <w:p w14:paraId="1116599E" w14:textId="77777777" w:rsidR="001C4ADD" w:rsidRDefault="001C4AD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bl>
    <w:p w14:paraId="5587564F" w14:textId="77777777" w:rsidR="00A15DE9" w:rsidRDefault="00A15DE9">
      <w:pPr>
        <w:rPr>
          <w:rFonts w:ascii="Arial" w:eastAsia="Arial" w:hAnsi="Arial" w:cs="Arial"/>
          <w:b/>
          <w:smallCaps/>
          <w:sz w:val="24"/>
          <w:szCs w:val="24"/>
        </w:rPr>
      </w:pPr>
      <w:bookmarkStart w:id="9" w:name="_heading=h.4d34og8" w:colFirst="0" w:colLast="0"/>
      <w:bookmarkEnd w:id="9"/>
    </w:p>
    <w:sectPr w:rsidR="00A15DE9">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1F33C" w14:textId="77777777" w:rsidR="00C17677" w:rsidRDefault="00C17677">
      <w:pPr>
        <w:spacing w:after="0" w:line="240" w:lineRule="auto"/>
      </w:pPr>
      <w:r>
        <w:separator/>
      </w:r>
    </w:p>
  </w:endnote>
  <w:endnote w:type="continuationSeparator" w:id="0">
    <w:p w14:paraId="70004B39" w14:textId="77777777" w:rsidR="00C17677" w:rsidRDefault="00C17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72D2" w14:textId="77777777" w:rsidR="00A15DE9" w:rsidRDefault="00B634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Mid-tier contract</w:t>
    </w:r>
  </w:p>
  <w:p w14:paraId="0752B2EA" w14:textId="77777777" w:rsidR="00A15DE9" w:rsidRDefault="00B634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14:paraId="0AA67F92" w14:textId="77777777" w:rsidR="00A15DE9" w:rsidRDefault="00B634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85E1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078BF3C" w14:textId="77777777" w:rsidR="00A15DE9" w:rsidRDefault="00B6342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FB592" w14:textId="77777777" w:rsidR="00A15DE9" w:rsidRDefault="00B63422">
    <w:pPr>
      <w:tabs>
        <w:tab w:val="center" w:pos="4513"/>
        <w:tab w:val="right" w:pos="9026"/>
      </w:tabs>
      <w:spacing w:after="0"/>
    </w:pPr>
    <w:r>
      <w:t>Framework Ref: RM</w:t>
    </w:r>
    <w:r>
      <w:tab/>
      <w:t xml:space="preserve">                                           </w:t>
    </w:r>
  </w:p>
  <w:p w14:paraId="09A5840D" w14:textId="77777777" w:rsidR="00A15DE9" w:rsidRDefault="00B634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DC7A151" w14:textId="77777777" w:rsidR="00A15DE9" w:rsidRDefault="00B6342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1C7DA" w14:textId="77777777" w:rsidR="00C17677" w:rsidRDefault="00C17677">
      <w:pPr>
        <w:spacing w:after="0" w:line="240" w:lineRule="auto"/>
      </w:pPr>
      <w:r>
        <w:separator/>
      </w:r>
    </w:p>
  </w:footnote>
  <w:footnote w:type="continuationSeparator" w:id="0">
    <w:p w14:paraId="3C02C471" w14:textId="77777777" w:rsidR="00C17677" w:rsidRDefault="00C176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97154" w14:textId="77777777" w:rsidR="00A15DE9" w:rsidRDefault="00B6342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3 (Charges)</w:t>
    </w:r>
  </w:p>
  <w:p w14:paraId="5C5D7629" w14:textId="77777777" w:rsidR="00A15DE9" w:rsidRDefault="00B634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9B240" w14:textId="77777777" w:rsidR="00A15DE9" w:rsidRDefault="00B6342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5D683610" w14:textId="77777777" w:rsidR="00A15DE9" w:rsidRDefault="00B6342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10445"/>
    <w:multiLevelType w:val="multilevel"/>
    <w:tmpl w:val="CD467510"/>
    <w:lvl w:ilvl="0">
      <w:start w:val="1"/>
      <w:numFmt w:val="decimal"/>
      <w:pStyle w:val="GPSL1CLAUSEHEADING"/>
      <w:lvlText w:val="%1."/>
      <w:lvlJc w:val="left"/>
      <w:pPr>
        <w:ind w:left="360" w:hanging="360"/>
      </w:pPr>
      <w:rPr>
        <w:b/>
        <w:smallCaps w:val="0"/>
        <w:strike w:val="0"/>
        <w:color w:val="000000"/>
        <w:sz w:val="28"/>
        <w:szCs w:val="28"/>
        <w:u w:val="none"/>
        <w:vertAlign w:val="baseline"/>
      </w:rPr>
    </w:lvl>
    <w:lvl w:ilvl="1">
      <w:start w:val="1"/>
      <w:numFmt w:val="decimal"/>
      <w:pStyle w:val="GPSL2numberedclause"/>
      <w:lvlText w:val="%1.%2"/>
      <w:lvlJc w:val="left"/>
      <w:pPr>
        <w:ind w:left="390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AB60B31"/>
    <w:multiLevelType w:val="multilevel"/>
    <w:tmpl w:val="1368FD5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DE9"/>
    <w:rsid w:val="00185E15"/>
    <w:rsid w:val="001C4ADD"/>
    <w:rsid w:val="00456BA5"/>
    <w:rsid w:val="00A15DE9"/>
    <w:rsid w:val="00B63422"/>
    <w:rsid w:val="00BE00ED"/>
    <w:rsid w:val="00C176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CE3A363"/>
  <w15:docId w15:val="{6272073F-E0C1-194C-82DA-B9AB9261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644"/>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579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8HWqXE6d7fykkU0eQ12fefxrXg==">AMUW2mW768xWki/u6lVGHQOLHL3YCpIxItDLVEOSe+cOa8yir+j+iPRdkXqIHgRwXVhpWBY1KEXVysPZCEGu25+mezINB7KUQGnfS3lMx7YwhK0pHvEBI9kFrIfHwvTZhSk4PLbGaa4JgpG65cBIM6cPB9T0O6NWmIlJ0y98m5PlGpNxz4ELzkCmGRF/9qjuSwaOk0XEqkjknIWvGKEQrnHEhlY6xzba/X+WUowR28JCKNaqCPp7RMw=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2020-02-24T14:21:00Z</dcterms:created>
  <dcterms:modified xsi:type="dcterms:W3CDTF">2020-02-24T14:21:00Z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